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4775" w14:textId="7E0355C0" w:rsidR="008A64C4" w:rsidRDefault="00725651">
      <w:pPr>
        <w:jc w:val="center"/>
        <w:rPr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O</w:t>
      </w:r>
      <w:r w:rsidR="00474C1B">
        <w:rPr>
          <w:b/>
          <w:color w:val="0000FF"/>
          <w:sz w:val="28"/>
          <w:szCs w:val="28"/>
          <w:u w:val="single"/>
        </w:rPr>
        <w:t>akdene Primary</w:t>
      </w:r>
      <w:r w:rsidR="00474C1B">
        <w:rPr>
          <w:b/>
          <w:sz w:val="28"/>
          <w:szCs w:val="28"/>
          <w:u w:val="single"/>
        </w:rPr>
        <w:t xml:space="preserve"> </w:t>
      </w:r>
      <w:r w:rsidR="00474C1B">
        <w:rPr>
          <w:sz w:val="28"/>
          <w:szCs w:val="28"/>
          <w:u w:val="single"/>
        </w:rPr>
        <w:t>End of Year Results with SATs 202</w:t>
      </w:r>
      <w:r w:rsidR="00206F43">
        <w:rPr>
          <w:sz w:val="28"/>
          <w:szCs w:val="28"/>
          <w:u w:val="single"/>
        </w:rPr>
        <w:t>3</w:t>
      </w: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3081"/>
        <w:gridCol w:w="3081"/>
      </w:tblGrid>
      <w:tr w:rsidR="008A64C4" w14:paraId="0C4DFD1B" w14:textId="77777777" w:rsidTr="00206F43">
        <w:tc>
          <w:tcPr>
            <w:tcW w:w="3080" w:type="dxa"/>
            <w:shd w:val="clear" w:color="auto" w:fill="D9D9D9" w:themeFill="background1" w:themeFillShade="D9"/>
          </w:tcPr>
          <w:p w14:paraId="46312CE5" w14:textId="77777777" w:rsidR="008A64C4" w:rsidRDefault="00474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Reception ELG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67941B6A" w14:textId="07151B2B" w:rsidR="008A64C4" w:rsidRDefault="00474C1B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GLD 202</w:t>
            </w:r>
            <w:r w:rsidR="00206F43">
              <w:rPr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37ECA3A0" w14:textId="13D8BFAD" w:rsidR="008A64C4" w:rsidRDefault="00474C1B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National GLD 202</w:t>
            </w:r>
            <w:r w:rsidR="00206F43">
              <w:rPr>
                <w:b/>
                <w:color w:val="0000FF"/>
                <w:sz w:val="24"/>
                <w:szCs w:val="24"/>
              </w:rPr>
              <w:t>3</w:t>
            </w:r>
          </w:p>
        </w:tc>
      </w:tr>
      <w:tr w:rsidR="008A64C4" w14:paraId="4A990029" w14:textId="77777777">
        <w:tc>
          <w:tcPr>
            <w:tcW w:w="3080" w:type="dxa"/>
          </w:tcPr>
          <w:p w14:paraId="26F3AF54" w14:textId="77777777" w:rsidR="008A64C4" w:rsidRDefault="00474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proofErr w:type="gramStart"/>
            <w:r>
              <w:rPr>
                <w:sz w:val="24"/>
                <w:szCs w:val="24"/>
              </w:rPr>
              <w:t>age</w:t>
            </w:r>
            <w:proofErr w:type="gramEnd"/>
            <w:r>
              <w:rPr>
                <w:sz w:val="24"/>
                <w:szCs w:val="24"/>
              </w:rPr>
              <w:t xml:space="preserve"> of pupils</w:t>
            </w:r>
          </w:p>
        </w:tc>
        <w:tc>
          <w:tcPr>
            <w:tcW w:w="3081" w:type="dxa"/>
          </w:tcPr>
          <w:p w14:paraId="6D99FE08" w14:textId="3AD44D69" w:rsidR="008A64C4" w:rsidRDefault="0020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3081" w:type="dxa"/>
          </w:tcPr>
          <w:p w14:paraId="47B374EA" w14:textId="77777777" w:rsidR="008A64C4" w:rsidRDefault="00474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65%  </w:t>
            </w:r>
          </w:p>
        </w:tc>
      </w:tr>
    </w:tbl>
    <w:p w14:paraId="6AA805D9" w14:textId="77777777" w:rsidR="008A64C4" w:rsidRDefault="008A64C4">
      <w:pPr>
        <w:spacing w:after="0"/>
        <w:rPr>
          <w:sz w:val="16"/>
          <w:szCs w:val="16"/>
        </w:rPr>
      </w:pP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820"/>
        <w:gridCol w:w="1919"/>
        <w:gridCol w:w="1863"/>
        <w:gridCol w:w="1688"/>
      </w:tblGrid>
      <w:tr w:rsidR="008A64C4" w14:paraId="6992F747" w14:textId="77777777" w:rsidTr="00206F43">
        <w:tc>
          <w:tcPr>
            <w:tcW w:w="1952" w:type="dxa"/>
            <w:shd w:val="clear" w:color="auto" w:fill="D9D9D9" w:themeFill="background1" w:themeFillShade="D9"/>
          </w:tcPr>
          <w:p w14:paraId="4AF557AF" w14:textId="77777777" w:rsidR="008A64C4" w:rsidRDefault="00474C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FF"/>
              </w:rPr>
              <w:t>Phonics Screening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4131A619" w14:textId="5163E376" w:rsidR="008A64C4" w:rsidRDefault="00474C1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202</w:t>
            </w:r>
            <w:r w:rsidR="00206F43">
              <w:rPr>
                <w:b/>
                <w:color w:val="0000FF"/>
              </w:rPr>
              <w:t>3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14:paraId="28BDD889" w14:textId="02C0D9EB" w:rsidR="008A64C4" w:rsidRDefault="00474C1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National 202</w:t>
            </w:r>
            <w:r w:rsidR="00206F43">
              <w:rPr>
                <w:b/>
                <w:color w:val="0000FF"/>
              </w:rPr>
              <w:t>3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1628D63D" w14:textId="08BFEA15" w:rsidR="008A64C4" w:rsidRDefault="00474C1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Year 2 202</w:t>
            </w:r>
            <w:r w:rsidR="00206F43">
              <w:rPr>
                <w:b/>
                <w:color w:val="0000FF"/>
              </w:rPr>
              <w:t>3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37AFAD2A" w14:textId="6CB340E9" w:rsidR="008A64C4" w:rsidRDefault="00474C1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National 202</w:t>
            </w:r>
            <w:r w:rsidR="00206F43">
              <w:rPr>
                <w:b/>
                <w:color w:val="0000FF"/>
              </w:rPr>
              <w:t>3</w:t>
            </w:r>
          </w:p>
        </w:tc>
      </w:tr>
      <w:tr w:rsidR="008A64C4" w14:paraId="183EDAA2" w14:textId="77777777">
        <w:tc>
          <w:tcPr>
            <w:tcW w:w="1952" w:type="dxa"/>
          </w:tcPr>
          <w:p w14:paraId="46254286" w14:textId="77777777" w:rsidR="008A64C4" w:rsidRDefault="0047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</w:t>
            </w:r>
          </w:p>
        </w:tc>
        <w:tc>
          <w:tcPr>
            <w:tcW w:w="1820" w:type="dxa"/>
          </w:tcPr>
          <w:p w14:paraId="1E75DF74" w14:textId="5ED3AE52" w:rsidR="008A64C4" w:rsidRDefault="00206F43">
            <w:pPr>
              <w:jc w:val="center"/>
            </w:pPr>
            <w:r>
              <w:t>53%</w:t>
            </w:r>
          </w:p>
        </w:tc>
        <w:tc>
          <w:tcPr>
            <w:tcW w:w="1919" w:type="dxa"/>
          </w:tcPr>
          <w:p w14:paraId="2B0A37A3" w14:textId="450EF597" w:rsidR="008A64C4" w:rsidRDefault="00206F43">
            <w:pPr>
              <w:jc w:val="center"/>
            </w:pPr>
            <w:r>
              <w:t>7</w:t>
            </w:r>
            <w:r w:rsidR="00CA1E61">
              <w:t>9</w:t>
            </w:r>
            <w:r>
              <w:t>%</w:t>
            </w:r>
          </w:p>
        </w:tc>
        <w:tc>
          <w:tcPr>
            <w:tcW w:w="1863" w:type="dxa"/>
          </w:tcPr>
          <w:p w14:paraId="42054188" w14:textId="3C64E1BA" w:rsidR="008A64C4" w:rsidRDefault="00CA1E61" w:rsidP="00CA1E61">
            <w:pPr>
              <w:jc w:val="center"/>
            </w:pPr>
            <w:r>
              <w:t>89%</w:t>
            </w:r>
          </w:p>
        </w:tc>
        <w:tc>
          <w:tcPr>
            <w:tcW w:w="1688" w:type="dxa"/>
          </w:tcPr>
          <w:p w14:paraId="5EAFC5A9" w14:textId="0A821B7B" w:rsidR="008A64C4" w:rsidRDefault="00CA1E61" w:rsidP="00CA1E61">
            <w:pPr>
              <w:jc w:val="center"/>
            </w:pPr>
            <w:r>
              <w:t>89%</w:t>
            </w:r>
          </w:p>
        </w:tc>
      </w:tr>
    </w:tbl>
    <w:p w14:paraId="3E564474" w14:textId="77777777" w:rsidR="008A64C4" w:rsidRDefault="008A64C4">
      <w:pPr>
        <w:spacing w:after="0"/>
        <w:rPr>
          <w:sz w:val="16"/>
          <w:szCs w:val="16"/>
        </w:rPr>
      </w:pPr>
    </w:p>
    <w:tbl>
      <w:tblPr>
        <w:tblStyle w:val="a1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3463"/>
        <w:gridCol w:w="3469"/>
      </w:tblGrid>
      <w:tr w:rsidR="00206F43" w14:paraId="6168D6B8" w14:textId="77777777" w:rsidTr="00206F43">
        <w:tc>
          <w:tcPr>
            <w:tcW w:w="2310" w:type="dxa"/>
            <w:shd w:val="clear" w:color="auto" w:fill="D9D9D9" w:themeFill="background1" w:themeFillShade="D9"/>
          </w:tcPr>
          <w:p w14:paraId="0E8CFA8C" w14:textId="77777777" w:rsidR="00206F43" w:rsidRDefault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*</w:t>
            </w:r>
            <w:r w:rsidRPr="00206F43">
              <w:rPr>
                <w:b/>
                <w:color w:val="0000FF"/>
                <w:shd w:val="clear" w:color="auto" w:fill="D9D9D9" w:themeFill="background1" w:themeFillShade="D9"/>
              </w:rPr>
              <w:t>Year 2 – At Standard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7FB69A87" w14:textId="31E63CA8" w:rsidR="00206F43" w:rsidRDefault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2023 Results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14:paraId="1B533018" w14:textId="4D1306A2" w:rsidR="00206F43" w:rsidRDefault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National 202</w:t>
            </w:r>
            <w:r w:rsidR="007C013A">
              <w:rPr>
                <w:b/>
                <w:color w:val="0000FF"/>
              </w:rPr>
              <w:t>3</w:t>
            </w:r>
          </w:p>
        </w:tc>
      </w:tr>
      <w:tr w:rsidR="00206F43" w14:paraId="2EEB6C2D" w14:textId="77777777" w:rsidTr="00206F43">
        <w:tc>
          <w:tcPr>
            <w:tcW w:w="2310" w:type="dxa"/>
          </w:tcPr>
          <w:p w14:paraId="0E022E0F" w14:textId="77777777" w:rsidR="00206F43" w:rsidRDefault="00206F43">
            <w:pPr>
              <w:jc w:val="center"/>
            </w:pPr>
            <w:r>
              <w:t>Reading</w:t>
            </w:r>
          </w:p>
        </w:tc>
        <w:tc>
          <w:tcPr>
            <w:tcW w:w="3463" w:type="dxa"/>
          </w:tcPr>
          <w:p w14:paraId="14FCE05C" w14:textId="2B3C535D" w:rsidR="00206F43" w:rsidRDefault="00206F43">
            <w:pPr>
              <w:jc w:val="center"/>
            </w:pPr>
            <w:r>
              <w:t>76%</w:t>
            </w:r>
          </w:p>
        </w:tc>
        <w:tc>
          <w:tcPr>
            <w:tcW w:w="3469" w:type="dxa"/>
            <w:vAlign w:val="bottom"/>
          </w:tcPr>
          <w:p w14:paraId="4437E225" w14:textId="4883FCBA" w:rsidR="00206F43" w:rsidRDefault="00206F43">
            <w:pPr>
              <w:jc w:val="center"/>
            </w:pPr>
            <w:r>
              <w:t>6</w:t>
            </w:r>
            <w:r w:rsidR="007C013A">
              <w:t>8</w:t>
            </w:r>
            <w:r>
              <w:t>%</w:t>
            </w:r>
          </w:p>
        </w:tc>
      </w:tr>
      <w:tr w:rsidR="00206F43" w14:paraId="6BED0584" w14:textId="77777777" w:rsidTr="00206F43">
        <w:tc>
          <w:tcPr>
            <w:tcW w:w="2310" w:type="dxa"/>
          </w:tcPr>
          <w:p w14:paraId="18A1BFCF" w14:textId="77777777" w:rsidR="00206F43" w:rsidRDefault="00206F43">
            <w:pPr>
              <w:jc w:val="center"/>
            </w:pPr>
            <w:r>
              <w:t>Writing</w:t>
            </w:r>
          </w:p>
        </w:tc>
        <w:tc>
          <w:tcPr>
            <w:tcW w:w="3463" w:type="dxa"/>
          </w:tcPr>
          <w:p w14:paraId="3B8B144D" w14:textId="7BC96A0A" w:rsidR="00206F43" w:rsidRDefault="00206F43">
            <w:pPr>
              <w:jc w:val="center"/>
            </w:pPr>
            <w:r>
              <w:t>69%</w:t>
            </w:r>
          </w:p>
        </w:tc>
        <w:tc>
          <w:tcPr>
            <w:tcW w:w="3469" w:type="dxa"/>
            <w:vAlign w:val="bottom"/>
          </w:tcPr>
          <w:p w14:paraId="6196A962" w14:textId="16B2611A" w:rsidR="00206F43" w:rsidRDefault="007C013A">
            <w:pPr>
              <w:jc w:val="center"/>
            </w:pPr>
            <w:r>
              <w:t>60</w:t>
            </w:r>
            <w:r w:rsidR="00206F43">
              <w:t>%</w:t>
            </w:r>
          </w:p>
        </w:tc>
      </w:tr>
      <w:tr w:rsidR="00206F43" w14:paraId="1885391A" w14:textId="77777777" w:rsidTr="00206F43">
        <w:tc>
          <w:tcPr>
            <w:tcW w:w="2310" w:type="dxa"/>
          </w:tcPr>
          <w:p w14:paraId="7EF98EE3" w14:textId="77777777" w:rsidR="00206F43" w:rsidRDefault="00206F43">
            <w:pPr>
              <w:jc w:val="center"/>
            </w:pPr>
            <w:r>
              <w:t>Maths</w:t>
            </w:r>
          </w:p>
        </w:tc>
        <w:tc>
          <w:tcPr>
            <w:tcW w:w="3463" w:type="dxa"/>
          </w:tcPr>
          <w:p w14:paraId="570F6A13" w14:textId="372511DE" w:rsidR="00206F43" w:rsidRDefault="00206F43">
            <w:pPr>
              <w:jc w:val="center"/>
            </w:pPr>
            <w:r>
              <w:t>90%</w:t>
            </w:r>
          </w:p>
        </w:tc>
        <w:tc>
          <w:tcPr>
            <w:tcW w:w="3469" w:type="dxa"/>
            <w:vAlign w:val="bottom"/>
          </w:tcPr>
          <w:p w14:paraId="05654142" w14:textId="5CB39B23" w:rsidR="00206F43" w:rsidRDefault="007C013A">
            <w:pPr>
              <w:jc w:val="center"/>
            </w:pPr>
            <w:r>
              <w:t>70</w:t>
            </w:r>
            <w:r w:rsidR="00206F43">
              <w:t>%</w:t>
            </w:r>
          </w:p>
        </w:tc>
      </w:tr>
      <w:tr w:rsidR="00154F1E" w14:paraId="768172BE" w14:textId="77777777" w:rsidTr="00206F43">
        <w:tc>
          <w:tcPr>
            <w:tcW w:w="2310" w:type="dxa"/>
          </w:tcPr>
          <w:p w14:paraId="284FA6AF" w14:textId="3F14106F" w:rsidR="00154F1E" w:rsidRDefault="00154F1E">
            <w:pPr>
              <w:jc w:val="center"/>
            </w:pPr>
            <w:r>
              <w:t>Science</w:t>
            </w:r>
          </w:p>
        </w:tc>
        <w:tc>
          <w:tcPr>
            <w:tcW w:w="3463" w:type="dxa"/>
          </w:tcPr>
          <w:p w14:paraId="12BA48FD" w14:textId="1D2D52B1" w:rsidR="00154F1E" w:rsidRDefault="00154F1E">
            <w:pPr>
              <w:jc w:val="center"/>
            </w:pPr>
            <w:r>
              <w:t>90%</w:t>
            </w:r>
          </w:p>
        </w:tc>
        <w:tc>
          <w:tcPr>
            <w:tcW w:w="3469" w:type="dxa"/>
            <w:vAlign w:val="bottom"/>
          </w:tcPr>
          <w:p w14:paraId="0F8EDB58" w14:textId="5EBC133E" w:rsidR="00154F1E" w:rsidRDefault="00154F1E">
            <w:pPr>
              <w:jc w:val="center"/>
            </w:pPr>
            <w:r>
              <w:t>79%</w:t>
            </w:r>
          </w:p>
        </w:tc>
      </w:tr>
    </w:tbl>
    <w:p w14:paraId="4ABDF127" w14:textId="77777777" w:rsidR="008A64C4" w:rsidRDefault="008A64C4">
      <w:pPr>
        <w:spacing w:after="0"/>
        <w:rPr>
          <w:sz w:val="20"/>
          <w:szCs w:val="20"/>
        </w:rPr>
      </w:pPr>
    </w:p>
    <w:tbl>
      <w:tblPr>
        <w:tblStyle w:val="a2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3466"/>
        <w:gridCol w:w="3466"/>
      </w:tblGrid>
      <w:tr w:rsidR="00CA1E61" w14:paraId="0077D0C7" w14:textId="77777777" w:rsidTr="00CA1E61">
        <w:tc>
          <w:tcPr>
            <w:tcW w:w="2310" w:type="dxa"/>
            <w:shd w:val="clear" w:color="auto" w:fill="D9D9D9" w:themeFill="background1" w:themeFillShade="D9"/>
          </w:tcPr>
          <w:p w14:paraId="73D933A7" w14:textId="77777777" w:rsidR="00CA1E61" w:rsidRPr="00CA1E61" w:rsidRDefault="00CA1E61">
            <w:pPr>
              <w:jc w:val="center"/>
              <w:rPr>
                <w:b/>
                <w:color w:val="0000FF"/>
              </w:rPr>
            </w:pPr>
            <w:r w:rsidRPr="00CA1E61">
              <w:rPr>
                <w:b/>
                <w:color w:val="0000FF"/>
              </w:rPr>
              <w:t>*Year 2 – Greater Depth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14:paraId="6E9F84F4" w14:textId="758DAA4D" w:rsidR="00CA1E61" w:rsidRPr="00CA1E61" w:rsidRDefault="00CA1E61">
            <w:pPr>
              <w:jc w:val="center"/>
              <w:rPr>
                <w:b/>
                <w:color w:val="0000FF"/>
              </w:rPr>
            </w:pPr>
            <w:r w:rsidRPr="00CA1E61">
              <w:rPr>
                <w:b/>
                <w:color w:val="0000FF"/>
              </w:rPr>
              <w:t>2023 Results</w:t>
            </w:r>
            <w:r w:rsidRPr="00CA1E61">
              <w:rPr>
                <w:b/>
                <w:color w:val="0000FF"/>
              </w:rPr>
              <w:tab/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14:paraId="6E7E5B0C" w14:textId="580B4078" w:rsidR="00CA1E61" w:rsidRPr="00CA1E61" w:rsidRDefault="00CA1E61">
            <w:pPr>
              <w:jc w:val="center"/>
              <w:rPr>
                <w:b/>
                <w:color w:val="0000FF"/>
              </w:rPr>
            </w:pPr>
            <w:r w:rsidRPr="00CA1E61">
              <w:rPr>
                <w:b/>
                <w:color w:val="0000FF"/>
              </w:rPr>
              <w:t>National 2022</w:t>
            </w:r>
          </w:p>
        </w:tc>
      </w:tr>
      <w:tr w:rsidR="00CA1E61" w14:paraId="09C51C50" w14:textId="77777777" w:rsidTr="00CA1E61">
        <w:tc>
          <w:tcPr>
            <w:tcW w:w="2310" w:type="dxa"/>
          </w:tcPr>
          <w:p w14:paraId="0F9107AF" w14:textId="77777777" w:rsidR="00CA1E61" w:rsidRPr="00CA1E61" w:rsidRDefault="00CA1E61">
            <w:pPr>
              <w:jc w:val="center"/>
            </w:pPr>
            <w:r w:rsidRPr="00CA1E61">
              <w:t>Reading</w:t>
            </w:r>
          </w:p>
        </w:tc>
        <w:tc>
          <w:tcPr>
            <w:tcW w:w="3466" w:type="dxa"/>
            <w:shd w:val="clear" w:color="auto" w:fill="FFFFFF"/>
          </w:tcPr>
          <w:p w14:paraId="49E0908D" w14:textId="3FFB73A5" w:rsidR="00CA1E61" w:rsidRPr="00CA1E61" w:rsidRDefault="00CA1E61">
            <w:pPr>
              <w:jc w:val="center"/>
            </w:pPr>
            <w:r w:rsidRPr="00CA1E61">
              <w:t>24%</w:t>
            </w:r>
          </w:p>
        </w:tc>
        <w:tc>
          <w:tcPr>
            <w:tcW w:w="3466" w:type="dxa"/>
          </w:tcPr>
          <w:p w14:paraId="4011E684" w14:textId="1E05D38E" w:rsidR="00CA1E61" w:rsidRPr="00CA1E61" w:rsidRDefault="00CA1E61">
            <w:pPr>
              <w:jc w:val="center"/>
            </w:pPr>
            <w:r w:rsidRPr="00CA1E61">
              <w:t>NA</w:t>
            </w:r>
          </w:p>
        </w:tc>
      </w:tr>
      <w:tr w:rsidR="00CA1E61" w14:paraId="37205444" w14:textId="77777777" w:rsidTr="00CA1E61">
        <w:tc>
          <w:tcPr>
            <w:tcW w:w="2310" w:type="dxa"/>
          </w:tcPr>
          <w:p w14:paraId="69DBF20A" w14:textId="77777777" w:rsidR="00CA1E61" w:rsidRPr="00CA1E61" w:rsidRDefault="00CA1E61">
            <w:pPr>
              <w:jc w:val="center"/>
            </w:pPr>
            <w:r w:rsidRPr="00CA1E61">
              <w:t>Writing</w:t>
            </w:r>
          </w:p>
        </w:tc>
        <w:tc>
          <w:tcPr>
            <w:tcW w:w="3466" w:type="dxa"/>
            <w:shd w:val="clear" w:color="auto" w:fill="FFFFFF"/>
          </w:tcPr>
          <w:p w14:paraId="35E166B0" w14:textId="34F4ACCF" w:rsidR="00CA1E61" w:rsidRPr="00CA1E61" w:rsidRDefault="00CA1E61">
            <w:pPr>
              <w:jc w:val="center"/>
            </w:pPr>
            <w:r w:rsidRPr="00CA1E61">
              <w:t>3%</w:t>
            </w:r>
          </w:p>
        </w:tc>
        <w:tc>
          <w:tcPr>
            <w:tcW w:w="3466" w:type="dxa"/>
          </w:tcPr>
          <w:p w14:paraId="1C10447E" w14:textId="4E22B010" w:rsidR="00CA1E61" w:rsidRPr="00CA1E61" w:rsidRDefault="00CA1E61">
            <w:pPr>
              <w:jc w:val="center"/>
            </w:pPr>
            <w:r w:rsidRPr="00CA1E61">
              <w:t>NA</w:t>
            </w:r>
          </w:p>
        </w:tc>
      </w:tr>
      <w:tr w:rsidR="00CA1E61" w14:paraId="38433081" w14:textId="77777777" w:rsidTr="00CA1E61">
        <w:tc>
          <w:tcPr>
            <w:tcW w:w="2310" w:type="dxa"/>
          </w:tcPr>
          <w:p w14:paraId="6E4D7AE9" w14:textId="77777777" w:rsidR="00CA1E61" w:rsidRPr="00CA1E61" w:rsidRDefault="00CA1E61">
            <w:pPr>
              <w:jc w:val="center"/>
            </w:pPr>
            <w:r w:rsidRPr="00CA1E61">
              <w:t>Maths</w:t>
            </w:r>
          </w:p>
        </w:tc>
        <w:tc>
          <w:tcPr>
            <w:tcW w:w="3466" w:type="dxa"/>
            <w:shd w:val="clear" w:color="auto" w:fill="FFFFFF"/>
          </w:tcPr>
          <w:p w14:paraId="2D711E0E" w14:textId="05919E71" w:rsidR="00CA1E61" w:rsidRPr="00CA1E61" w:rsidRDefault="00CA1E61">
            <w:pPr>
              <w:jc w:val="center"/>
            </w:pPr>
            <w:r w:rsidRPr="00CA1E61">
              <w:t>28%</w:t>
            </w:r>
          </w:p>
        </w:tc>
        <w:tc>
          <w:tcPr>
            <w:tcW w:w="3466" w:type="dxa"/>
          </w:tcPr>
          <w:p w14:paraId="35848731" w14:textId="77195824" w:rsidR="00CA1E61" w:rsidRPr="00CA1E61" w:rsidRDefault="00CA1E61">
            <w:pPr>
              <w:jc w:val="center"/>
            </w:pPr>
            <w:r w:rsidRPr="00CA1E61">
              <w:t>NA</w:t>
            </w:r>
          </w:p>
        </w:tc>
      </w:tr>
      <w:tr w:rsidR="008A64C4" w14:paraId="0BBEC9F5" w14:textId="77777777">
        <w:tc>
          <w:tcPr>
            <w:tcW w:w="2310" w:type="dxa"/>
          </w:tcPr>
          <w:p w14:paraId="04A88634" w14:textId="77777777" w:rsidR="008A64C4" w:rsidRPr="00CA1E61" w:rsidRDefault="00474C1B">
            <w:pPr>
              <w:jc w:val="center"/>
              <w:rPr>
                <w:sz w:val="18"/>
                <w:szCs w:val="18"/>
              </w:rPr>
            </w:pPr>
            <w:r w:rsidRPr="00CA1E61">
              <w:rPr>
                <w:sz w:val="18"/>
                <w:szCs w:val="18"/>
              </w:rPr>
              <w:t>R, W &amp; M Combined ARE</w:t>
            </w:r>
          </w:p>
        </w:tc>
        <w:tc>
          <w:tcPr>
            <w:tcW w:w="6932" w:type="dxa"/>
            <w:gridSpan w:val="2"/>
            <w:shd w:val="clear" w:color="auto" w:fill="FFFFFF"/>
          </w:tcPr>
          <w:p w14:paraId="50313B5A" w14:textId="4580119C" w:rsidR="008A64C4" w:rsidRPr="00CA1E61" w:rsidRDefault="00CA1E61">
            <w:pPr>
              <w:jc w:val="center"/>
            </w:pPr>
            <w:r w:rsidRPr="00CA1E61">
              <w:t>66</w:t>
            </w:r>
            <w:r w:rsidR="00474C1B" w:rsidRPr="00CA1E61">
              <w:t>%</w:t>
            </w:r>
          </w:p>
        </w:tc>
      </w:tr>
      <w:tr w:rsidR="008A64C4" w14:paraId="19BB9B3E" w14:textId="77777777">
        <w:tc>
          <w:tcPr>
            <w:tcW w:w="2310" w:type="dxa"/>
          </w:tcPr>
          <w:p w14:paraId="315682D0" w14:textId="77777777" w:rsidR="008A64C4" w:rsidRPr="00CA1E61" w:rsidRDefault="00474C1B">
            <w:pPr>
              <w:jc w:val="center"/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 w:rsidRPr="00CA1E61">
              <w:rPr>
                <w:sz w:val="18"/>
                <w:szCs w:val="18"/>
              </w:rPr>
              <w:t>R, W &amp; M Combine ARE +</w:t>
            </w:r>
          </w:p>
        </w:tc>
        <w:tc>
          <w:tcPr>
            <w:tcW w:w="6932" w:type="dxa"/>
            <w:gridSpan w:val="2"/>
            <w:shd w:val="clear" w:color="auto" w:fill="FFFFFF"/>
          </w:tcPr>
          <w:p w14:paraId="5EE531FD" w14:textId="2AAFF02A" w:rsidR="008A64C4" w:rsidRPr="00CA1E61" w:rsidRDefault="00CA1E61">
            <w:pPr>
              <w:jc w:val="center"/>
            </w:pPr>
            <w:r w:rsidRPr="00CA1E61">
              <w:t>3</w:t>
            </w:r>
            <w:r w:rsidR="00474C1B" w:rsidRPr="00CA1E61">
              <w:t>%</w:t>
            </w:r>
          </w:p>
        </w:tc>
      </w:tr>
    </w:tbl>
    <w:p w14:paraId="4D3F5551" w14:textId="77777777" w:rsidR="008A64C4" w:rsidRDefault="008A64C4">
      <w:pPr>
        <w:spacing w:after="0"/>
        <w:rPr>
          <w:color w:val="FF0000"/>
          <w:sz w:val="16"/>
          <w:szCs w:val="16"/>
        </w:rPr>
      </w:pPr>
    </w:p>
    <w:tbl>
      <w:tblPr>
        <w:tblStyle w:val="a3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8"/>
        <w:gridCol w:w="3058"/>
        <w:gridCol w:w="3059"/>
      </w:tblGrid>
      <w:tr w:rsidR="00206F43" w14:paraId="540937AC" w14:textId="77777777" w:rsidTr="00206F43">
        <w:trPr>
          <w:trHeight w:val="393"/>
        </w:trPr>
        <w:tc>
          <w:tcPr>
            <w:tcW w:w="3058" w:type="dxa"/>
            <w:shd w:val="clear" w:color="auto" w:fill="D9D9D9" w:themeFill="background1" w:themeFillShade="D9"/>
          </w:tcPr>
          <w:p w14:paraId="11B8DC52" w14:textId="77777777" w:rsidR="00206F43" w:rsidRDefault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Y6 – At standard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7BE8EBBC" w14:textId="7FAD663B" w:rsidR="00206F43" w:rsidRDefault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2023 Results 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2D74847" w14:textId="1CFE79B4" w:rsidR="00206F43" w:rsidRDefault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National 2023</w:t>
            </w:r>
          </w:p>
        </w:tc>
      </w:tr>
      <w:tr w:rsidR="00206F43" w14:paraId="02CD8B51" w14:textId="77777777" w:rsidTr="00206F43">
        <w:trPr>
          <w:trHeight w:val="277"/>
        </w:trPr>
        <w:tc>
          <w:tcPr>
            <w:tcW w:w="3058" w:type="dxa"/>
          </w:tcPr>
          <w:p w14:paraId="00A9A37F" w14:textId="77777777" w:rsidR="00206F43" w:rsidRDefault="00206F43">
            <w:pPr>
              <w:jc w:val="center"/>
            </w:pPr>
            <w:r>
              <w:t>Reading</w:t>
            </w:r>
          </w:p>
        </w:tc>
        <w:tc>
          <w:tcPr>
            <w:tcW w:w="3058" w:type="dxa"/>
          </w:tcPr>
          <w:p w14:paraId="06F1E2BB" w14:textId="191C59CE" w:rsidR="00206F43" w:rsidRDefault="00206F43">
            <w:pPr>
              <w:jc w:val="center"/>
            </w:pPr>
            <w:r>
              <w:t>83%</w:t>
            </w:r>
          </w:p>
        </w:tc>
        <w:tc>
          <w:tcPr>
            <w:tcW w:w="3059" w:type="dxa"/>
          </w:tcPr>
          <w:p w14:paraId="2BBD4DD3" w14:textId="40022F44" w:rsidR="00206F43" w:rsidRDefault="00206F43">
            <w:pPr>
              <w:jc w:val="center"/>
            </w:pPr>
            <w:r>
              <w:t>73%</w:t>
            </w:r>
          </w:p>
        </w:tc>
      </w:tr>
      <w:tr w:rsidR="00206F43" w14:paraId="5F9EC584" w14:textId="77777777" w:rsidTr="00206F43">
        <w:trPr>
          <w:trHeight w:val="277"/>
        </w:trPr>
        <w:tc>
          <w:tcPr>
            <w:tcW w:w="3058" w:type="dxa"/>
          </w:tcPr>
          <w:p w14:paraId="22664BFA" w14:textId="77777777" w:rsidR="00206F43" w:rsidRDefault="00206F43">
            <w:pPr>
              <w:jc w:val="center"/>
            </w:pPr>
            <w:r>
              <w:t>Writing</w:t>
            </w:r>
          </w:p>
        </w:tc>
        <w:tc>
          <w:tcPr>
            <w:tcW w:w="3058" w:type="dxa"/>
          </w:tcPr>
          <w:p w14:paraId="497D71BA" w14:textId="52583AC8" w:rsidR="00206F43" w:rsidRDefault="00206F43">
            <w:pPr>
              <w:jc w:val="center"/>
            </w:pPr>
            <w:r>
              <w:t>80%</w:t>
            </w:r>
          </w:p>
        </w:tc>
        <w:tc>
          <w:tcPr>
            <w:tcW w:w="3059" w:type="dxa"/>
          </w:tcPr>
          <w:p w14:paraId="25215682" w14:textId="5E880CA8" w:rsidR="00206F43" w:rsidRDefault="00206F43">
            <w:pPr>
              <w:jc w:val="center"/>
            </w:pPr>
            <w:r>
              <w:t>71%</w:t>
            </w:r>
          </w:p>
        </w:tc>
      </w:tr>
      <w:tr w:rsidR="00206F43" w14:paraId="5432EFB7" w14:textId="77777777" w:rsidTr="00206F43">
        <w:trPr>
          <w:trHeight w:val="74"/>
        </w:trPr>
        <w:tc>
          <w:tcPr>
            <w:tcW w:w="3058" w:type="dxa"/>
          </w:tcPr>
          <w:p w14:paraId="690C52A2" w14:textId="77777777" w:rsidR="00206F43" w:rsidRDefault="00206F43">
            <w:pPr>
              <w:jc w:val="center"/>
            </w:pPr>
            <w:r>
              <w:t>Maths</w:t>
            </w:r>
          </w:p>
        </w:tc>
        <w:tc>
          <w:tcPr>
            <w:tcW w:w="3058" w:type="dxa"/>
          </w:tcPr>
          <w:p w14:paraId="18CB1075" w14:textId="401F225A" w:rsidR="00206F43" w:rsidRDefault="00206F43">
            <w:pPr>
              <w:jc w:val="center"/>
            </w:pPr>
            <w:r>
              <w:t>77%</w:t>
            </w:r>
          </w:p>
        </w:tc>
        <w:tc>
          <w:tcPr>
            <w:tcW w:w="3059" w:type="dxa"/>
          </w:tcPr>
          <w:p w14:paraId="461AF7BE" w14:textId="6CAC6383" w:rsidR="00206F43" w:rsidRDefault="00206F43">
            <w:pPr>
              <w:jc w:val="center"/>
            </w:pPr>
            <w:r>
              <w:t>73%</w:t>
            </w:r>
          </w:p>
        </w:tc>
      </w:tr>
      <w:tr w:rsidR="00206F43" w14:paraId="1921E116" w14:textId="77777777" w:rsidTr="00206F43">
        <w:trPr>
          <w:trHeight w:val="290"/>
        </w:trPr>
        <w:tc>
          <w:tcPr>
            <w:tcW w:w="3058" w:type="dxa"/>
          </w:tcPr>
          <w:p w14:paraId="41231161" w14:textId="77777777" w:rsidR="00206F43" w:rsidRDefault="00206F43">
            <w:pPr>
              <w:jc w:val="center"/>
            </w:pPr>
            <w:r>
              <w:t>SPAG</w:t>
            </w:r>
          </w:p>
        </w:tc>
        <w:tc>
          <w:tcPr>
            <w:tcW w:w="3058" w:type="dxa"/>
          </w:tcPr>
          <w:p w14:paraId="795E7E2B" w14:textId="3C3F0D16" w:rsidR="00206F43" w:rsidRDefault="000F7205">
            <w:pPr>
              <w:jc w:val="center"/>
            </w:pPr>
            <w:r>
              <w:t>93%</w:t>
            </w:r>
          </w:p>
        </w:tc>
        <w:tc>
          <w:tcPr>
            <w:tcW w:w="3059" w:type="dxa"/>
          </w:tcPr>
          <w:p w14:paraId="60A194C8" w14:textId="5AB40EBC" w:rsidR="00206F43" w:rsidRDefault="000F7205">
            <w:pPr>
              <w:jc w:val="center"/>
            </w:pPr>
            <w:r>
              <w:t>72%</w:t>
            </w:r>
          </w:p>
        </w:tc>
      </w:tr>
      <w:tr w:rsidR="00206F43" w14:paraId="0A516189" w14:textId="77777777" w:rsidTr="00206F43">
        <w:trPr>
          <w:trHeight w:val="370"/>
        </w:trPr>
        <w:tc>
          <w:tcPr>
            <w:tcW w:w="3058" w:type="dxa"/>
            <w:shd w:val="clear" w:color="auto" w:fill="auto"/>
          </w:tcPr>
          <w:p w14:paraId="43C4CCA7" w14:textId="77777777" w:rsidR="00206F43" w:rsidRDefault="00206F43">
            <w:pPr>
              <w:jc w:val="center"/>
            </w:pPr>
            <w:r>
              <w:t xml:space="preserve"> </w:t>
            </w:r>
            <w:r>
              <w:rPr>
                <w:sz w:val="14"/>
                <w:szCs w:val="14"/>
              </w:rPr>
              <w:t>RWM Combined</w:t>
            </w:r>
          </w:p>
        </w:tc>
        <w:tc>
          <w:tcPr>
            <w:tcW w:w="3058" w:type="dxa"/>
          </w:tcPr>
          <w:p w14:paraId="6FEBFD54" w14:textId="1CBCD6BA" w:rsidR="00206F43" w:rsidRDefault="00206F43">
            <w:pPr>
              <w:jc w:val="center"/>
            </w:pPr>
            <w:r>
              <w:t>67%</w:t>
            </w:r>
          </w:p>
        </w:tc>
        <w:tc>
          <w:tcPr>
            <w:tcW w:w="3059" w:type="dxa"/>
          </w:tcPr>
          <w:p w14:paraId="1B8E55D2" w14:textId="7D828711" w:rsidR="00206F43" w:rsidRDefault="00206F43">
            <w:pPr>
              <w:jc w:val="center"/>
            </w:pPr>
            <w:r>
              <w:t>59%</w:t>
            </w:r>
          </w:p>
        </w:tc>
      </w:tr>
    </w:tbl>
    <w:p w14:paraId="6F176A02" w14:textId="77777777" w:rsidR="008A64C4" w:rsidRDefault="008A64C4">
      <w:pPr>
        <w:spacing w:after="0" w:line="240" w:lineRule="auto"/>
        <w:rPr>
          <w:b/>
        </w:rPr>
      </w:pPr>
    </w:p>
    <w:tbl>
      <w:tblPr>
        <w:tblStyle w:val="a4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8"/>
        <w:gridCol w:w="3058"/>
        <w:gridCol w:w="3059"/>
      </w:tblGrid>
      <w:tr w:rsidR="00206F43" w14:paraId="458A68F0" w14:textId="77777777" w:rsidTr="00206F43">
        <w:tc>
          <w:tcPr>
            <w:tcW w:w="3058" w:type="dxa"/>
            <w:shd w:val="clear" w:color="auto" w:fill="D9D9D9" w:themeFill="background1" w:themeFillShade="D9"/>
          </w:tcPr>
          <w:p w14:paraId="704AB321" w14:textId="77777777" w:rsidR="00206F43" w:rsidRDefault="00206F43" w:rsidP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Year 6 – Greater Depth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7CC6E21C" w14:textId="37F44829" w:rsidR="00206F43" w:rsidRDefault="00206F43" w:rsidP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2023 Results 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7E1DAF7" w14:textId="31811A26" w:rsidR="00206F43" w:rsidRDefault="00206F43" w:rsidP="00206F4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National 2023</w:t>
            </w:r>
          </w:p>
        </w:tc>
      </w:tr>
      <w:tr w:rsidR="00206F43" w14:paraId="1BEDB954" w14:textId="77777777" w:rsidTr="00206F43">
        <w:tc>
          <w:tcPr>
            <w:tcW w:w="3058" w:type="dxa"/>
          </w:tcPr>
          <w:p w14:paraId="69E88B8A" w14:textId="77777777" w:rsidR="00206F43" w:rsidRDefault="00206F43" w:rsidP="00206F43">
            <w:pPr>
              <w:jc w:val="center"/>
            </w:pPr>
            <w:r>
              <w:t>Reading</w:t>
            </w:r>
          </w:p>
        </w:tc>
        <w:tc>
          <w:tcPr>
            <w:tcW w:w="3058" w:type="dxa"/>
          </w:tcPr>
          <w:p w14:paraId="193E0A7F" w14:textId="7078A888" w:rsidR="00206F43" w:rsidRDefault="00206F43" w:rsidP="00206F43">
            <w:pPr>
              <w:jc w:val="center"/>
            </w:pPr>
            <w:r>
              <w:t>50%</w:t>
            </w:r>
          </w:p>
        </w:tc>
        <w:tc>
          <w:tcPr>
            <w:tcW w:w="3059" w:type="dxa"/>
          </w:tcPr>
          <w:p w14:paraId="7C256A0C" w14:textId="5E5CA2B5" w:rsidR="00206F43" w:rsidRDefault="000F7205" w:rsidP="00206F43">
            <w:pPr>
              <w:jc w:val="center"/>
            </w:pPr>
            <w:r>
              <w:t>29%</w:t>
            </w:r>
          </w:p>
        </w:tc>
      </w:tr>
      <w:tr w:rsidR="00206F43" w14:paraId="6CF7D940" w14:textId="77777777" w:rsidTr="00206F43">
        <w:tc>
          <w:tcPr>
            <w:tcW w:w="3058" w:type="dxa"/>
          </w:tcPr>
          <w:p w14:paraId="09EB8E21" w14:textId="77777777" w:rsidR="00206F43" w:rsidRDefault="00206F43" w:rsidP="00206F43">
            <w:pPr>
              <w:jc w:val="center"/>
            </w:pPr>
            <w:r>
              <w:t>Writing</w:t>
            </w:r>
          </w:p>
        </w:tc>
        <w:tc>
          <w:tcPr>
            <w:tcW w:w="3058" w:type="dxa"/>
          </w:tcPr>
          <w:p w14:paraId="2CB84DD3" w14:textId="25125B8F" w:rsidR="00206F43" w:rsidRDefault="00206F43" w:rsidP="00206F43">
            <w:pPr>
              <w:jc w:val="center"/>
            </w:pPr>
            <w:r>
              <w:t>7%</w:t>
            </w:r>
          </w:p>
        </w:tc>
        <w:tc>
          <w:tcPr>
            <w:tcW w:w="3059" w:type="dxa"/>
          </w:tcPr>
          <w:p w14:paraId="358E5638" w14:textId="680676D9" w:rsidR="00206F43" w:rsidRDefault="000F7205" w:rsidP="00206F43">
            <w:pPr>
              <w:jc w:val="center"/>
            </w:pPr>
            <w:r>
              <w:t>13%</w:t>
            </w:r>
          </w:p>
        </w:tc>
      </w:tr>
      <w:tr w:rsidR="00206F43" w14:paraId="0264B978" w14:textId="77777777" w:rsidTr="00206F43">
        <w:tc>
          <w:tcPr>
            <w:tcW w:w="3058" w:type="dxa"/>
          </w:tcPr>
          <w:p w14:paraId="7B566E3F" w14:textId="77777777" w:rsidR="00206F43" w:rsidRDefault="00206F43" w:rsidP="00206F43">
            <w:pPr>
              <w:jc w:val="center"/>
            </w:pPr>
            <w:r>
              <w:t>Maths</w:t>
            </w:r>
          </w:p>
        </w:tc>
        <w:tc>
          <w:tcPr>
            <w:tcW w:w="3058" w:type="dxa"/>
          </w:tcPr>
          <w:p w14:paraId="3DD06CC9" w14:textId="709FAF73" w:rsidR="00206F43" w:rsidRDefault="00206F43" w:rsidP="00206F43">
            <w:pPr>
              <w:jc w:val="center"/>
            </w:pPr>
            <w:r>
              <w:t>33%</w:t>
            </w:r>
          </w:p>
        </w:tc>
        <w:tc>
          <w:tcPr>
            <w:tcW w:w="3059" w:type="dxa"/>
          </w:tcPr>
          <w:p w14:paraId="7FEA2545" w14:textId="4C93AF20" w:rsidR="00206F43" w:rsidRDefault="000F7205" w:rsidP="00206F43">
            <w:pPr>
              <w:jc w:val="center"/>
            </w:pPr>
            <w:r>
              <w:t>24%</w:t>
            </w:r>
          </w:p>
        </w:tc>
      </w:tr>
      <w:tr w:rsidR="00206F43" w14:paraId="04AA7984" w14:textId="77777777" w:rsidTr="00206F43">
        <w:tc>
          <w:tcPr>
            <w:tcW w:w="3058" w:type="dxa"/>
          </w:tcPr>
          <w:p w14:paraId="6D2BD156" w14:textId="77777777" w:rsidR="00206F43" w:rsidRDefault="00206F43" w:rsidP="00206F43">
            <w:pPr>
              <w:jc w:val="center"/>
            </w:pPr>
            <w:r>
              <w:t>Spag</w:t>
            </w:r>
          </w:p>
        </w:tc>
        <w:tc>
          <w:tcPr>
            <w:tcW w:w="3058" w:type="dxa"/>
          </w:tcPr>
          <w:p w14:paraId="450AB88B" w14:textId="1237AD43" w:rsidR="00206F43" w:rsidRDefault="000F7205" w:rsidP="00206F43">
            <w:pPr>
              <w:jc w:val="center"/>
            </w:pPr>
            <w:r>
              <w:t>47</w:t>
            </w:r>
            <w:r w:rsidR="00206F43">
              <w:t>%</w:t>
            </w:r>
          </w:p>
        </w:tc>
        <w:tc>
          <w:tcPr>
            <w:tcW w:w="3059" w:type="dxa"/>
          </w:tcPr>
          <w:p w14:paraId="4756976B" w14:textId="7D9E02E1" w:rsidR="00206F43" w:rsidRDefault="000F7205" w:rsidP="00206F43">
            <w:pPr>
              <w:jc w:val="center"/>
            </w:pPr>
            <w:r>
              <w:t>30%</w:t>
            </w:r>
          </w:p>
        </w:tc>
      </w:tr>
    </w:tbl>
    <w:p w14:paraId="1B04650B" w14:textId="3835ECE1" w:rsidR="008A64C4" w:rsidRDefault="00474C1B">
      <w:pPr>
        <w:spacing w:after="0" w:line="240" w:lineRule="auto"/>
        <w:rPr>
          <w:b/>
        </w:rPr>
      </w:pPr>
      <w:r>
        <w:rPr>
          <w:b/>
        </w:rPr>
        <w:t>**Scaled score above 110 taken for GD**</w:t>
      </w:r>
    </w:p>
    <w:p w14:paraId="07CD43EA" w14:textId="77777777" w:rsidR="000F7205" w:rsidRDefault="000F7205">
      <w:pPr>
        <w:spacing w:after="0" w:line="240" w:lineRule="auto"/>
        <w:rPr>
          <w:b/>
        </w:rPr>
      </w:pPr>
    </w:p>
    <w:tbl>
      <w:tblPr>
        <w:tblStyle w:val="a5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902"/>
        <w:gridCol w:w="1902"/>
        <w:gridCol w:w="1902"/>
        <w:gridCol w:w="1902"/>
      </w:tblGrid>
      <w:tr w:rsidR="000F7205" w14:paraId="787E98B2" w14:textId="77777777" w:rsidTr="000F7205">
        <w:trPr>
          <w:trHeight w:val="70"/>
        </w:trPr>
        <w:tc>
          <w:tcPr>
            <w:tcW w:w="1572" w:type="dxa"/>
            <w:shd w:val="clear" w:color="auto" w:fill="F2F2F2" w:themeFill="background1" w:themeFillShade="F2"/>
            <w:vAlign w:val="center"/>
          </w:tcPr>
          <w:p w14:paraId="66D8055A" w14:textId="4E7FD316" w:rsidR="000F7205" w:rsidRPr="000F7205" w:rsidRDefault="000F7205">
            <w:pPr>
              <w:jc w:val="center"/>
              <w:rPr>
                <w:b/>
                <w:color w:val="0000FF"/>
              </w:rPr>
            </w:pPr>
            <w:r w:rsidRPr="000F7205">
              <w:rPr>
                <w:b/>
                <w:color w:val="0000FF"/>
              </w:rPr>
              <w:t xml:space="preserve">Scaled Scores 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8523181" w14:textId="125DD18E" w:rsidR="000F7205" w:rsidRPr="000F7205" w:rsidRDefault="000F7205">
            <w:pPr>
              <w:jc w:val="center"/>
              <w:rPr>
                <w:b/>
                <w:color w:val="0000FF"/>
              </w:rPr>
            </w:pPr>
            <w:r w:rsidRPr="000F7205">
              <w:rPr>
                <w:b/>
                <w:color w:val="0000FF"/>
              </w:rPr>
              <w:t>Oakdene 2019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441D33D" w14:textId="0BCC07EE" w:rsidR="000F7205" w:rsidRPr="000F7205" w:rsidRDefault="000F7205">
            <w:pPr>
              <w:jc w:val="center"/>
              <w:rPr>
                <w:b/>
                <w:color w:val="0000FF"/>
              </w:rPr>
            </w:pPr>
            <w:r w:rsidRPr="000F7205">
              <w:rPr>
                <w:b/>
                <w:color w:val="0000FF"/>
              </w:rPr>
              <w:t>Oakdene 2022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7C51BFE5" w14:textId="184207E7" w:rsidR="000F7205" w:rsidRPr="000F7205" w:rsidRDefault="000F7205">
            <w:pPr>
              <w:jc w:val="center"/>
              <w:rPr>
                <w:b/>
                <w:color w:val="0000FF"/>
              </w:rPr>
            </w:pPr>
            <w:r w:rsidRPr="000F7205">
              <w:rPr>
                <w:b/>
                <w:color w:val="0000FF"/>
              </w:rPr>
              <w:t>Oakdene 2023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673BB43E" w14:textId="77B20E0C" w:rsidR="000F7205" w:rsidRPr="000F7205" w:rsidRDefault="000F7205">
            <w:pPr>
              <w:jc w:val="center"/>
              <w:rPr>
                <w:b/>
                <w:color w:val="0000FF"/>
              </w:rPr>
            </w:pPr>
            <w:r w:rsidRPr="000F7205">
              <w:rPr>
                <w:b/>
                <w:color w:val="0000FF"/>
              </w:rPr>
              <w:t xml:space="preserve">National 2023 </w:t>
            </w:r>
          </w:p>
        </w:tc>
      </w:tr>
      <w:tr w:rsidR="008A64C4" w14:paraId="1AC8462B" w14:textId="77777777">
        <w:trPr>
          <w:trHeight w:val="70"/>
        </w:trPr>
        <w:tc>
          <w:tcPr>
            <w:tcW w:w="1572" w:type="dxa"/>
            <w:vAlign w:val="center"/>
          </w:tcPr>
          <w:p w14:paraId="484D4939" w14:textId="77777777" w:rsidR="008A64C4" w:rsidRDefault="00474C1B">
            <w:pPr>
              <w:jc w:val="center"/>
            </w:pPr>
            <w:r>
              <w:t>Reading</w:t>
            </w:r>
          </w:p>
        </w:tc>
        <w:tc>
          <w:tcPr>
            <w:tcW w:w="1902" w:type="dxa"/>
            <w:shd w:val="clear" w:color="auto" w:fill="auto"/>
          </w:tcPr>
          <w:p w14:paraId="57FEEC64" w14:textId="4D604414" w:rsidR="008A64C4" w:rsidRDefault="000F7205">
            <w:pPr>
              <w:jc w:val="center"/>
            </w:pPr>
            <w:r>
              <w:t>107.0</w:t>
            </w:r>
          </w:p>
        </w:tc>
        <w:tc>
          <w:tcPr>
            <w:tcW w:w="1902" w:type="dxa"/>
          </w:tcPr>
          <w:p w14:paraId="69BFAC9D" w14:textId="0B01A265" w:rsidR="008A64C4" w:rsidRDefault="000F7205">
            <w:pPr>
              <w:jc w:val="center"/>
            </w:pPr>
            <w:r>
              <w:t>104.0</w:t>
            </w:r>
          </w:p>
        </w:tc>
        <w:tc>
          <w:tcPr>
            <w:tcW w:w="1902" w:type="dxa"/>
          </w:tcPr>
          <w:p w14:paraId="794DFFA3" w14:textId="547E0826" w:rsidR="008A64C4" w:rsidRDefault="000F7205">
            <w:pPr>
              <w:jc w:val="center"/>
            </w:pPr>
            <w:r>
              <w:t>108.0</w:t>
            </w:r>
          </w:p>
        </w:tc>
        <w:tc>
          <w:tcPr>
            <w:tcW w:w="1902" w:type="dxa"/>
          </w:tcPr>
          <w:p w14:paraId="4055130A" w14:textId="7CBA2338" w:rsidR="008A64C4" w:rsidRDefault="000F7205">
            <w:pPr>
              <w:jc w:val="center"/>
            </w:pPr>
            <w:r>
              <w:t>105.0</w:t>
            </w:r>
          </w:p>
        </w:tc>
      </w:tr>
      <w:tr w:rsidR="00CA1E61" w14:paraId="1571782C" w14:textId="77777777">
        <w:trPr>
          <w:trHeight w:val="70"/>
        </w:trPr>
        <w:tc>
          <w:tcPr>
            <w:tcW w:w="1572" w:type="dxa"/>
            <w:vAlign w:val="center"/>
          </w:tcPr>
          <w:p w14:paraId="018E14D5" w14:textId="7E4F2CFA" w:rsidR="00CA1E61" w:rsidRDefault="00CA1E61">
            <w:pPr>
              <w:jc w:val="center"/>
            </w:pPr>
            <w:r>
              <w:t xml:space="preserve">Writing </w:t>
            </w:r>
          </w:p>
        </w:tc>
        <w:tc>
          <w:tcPr>
            <w:tcW w:w="1902" w:type="dxa"/>
            <w:shd w:val="clear" w:color="auto" w:fill="auto"/>
          </w:tcPr>
          <w:p w14:paraId="42C1E4F4" w14:textId="66AC243F" w:rsidR="00CA1E61" w:rsidRDefault="000F7205">
            <w:pPr>
              <w:jc w:val="center"/>
            </w:pPr>
            <w:r>
              <w:t>NA</w:t>
            </w:r>
          </w:p>
        </w:tc>
        <w:tc>
          <w:tcPr>
            <w:tcW w:w="1902" w:type="dxa"/>
          </w:tcPr>
          <w:p w14:paraId="2379399D" w14:textId="5432D220" w:rsidR="00CA1E61" w:rsidRDefault="000F7205">
            <w:pPr>
              <w:jc w:val="center"/>
            </w:pPr>
            <w:r>
              <w:t>NA</w:t>
            </w:r>
          </w:p>
        </w:tc>
        <w:tc>
          <w:tcPr>
            <w:tcW w:w="1902" w:type="dxa"/>
          </w:tcPr>
          <w:p w14:paraId="7CA3FA39" w14:textId="1A4C918E" w:rsidR="00CA1E61" w:rsidRDefault="000F7205">
            <w:pPr>
              <w:jc w:val="center"/>
            </w:pPr>
            <w:r>
              <w:t>NA</w:t>
            </w:r>
          </w:p>
        </w:tc>
        <w:tc>
          <w:tcPr>
            <w:tcW w:w="1902" w:type="dxa"/>
          </w:tcPr>
          <w:p w14:paraId="39C353C5" w14:textId="263D5758" w:rsidR="00CA1E61" w:rsidRDefault="000F7205">
            <w:pPr>
              <w:jc w:val="center"/>
            </w:pPr>
            <w:r>
              <w:t>NA</w:t>
            </w:r>
          </w:p>
        </w:tc>
      </w:tr>
      <w:tr w:rsidR="008A64C4" w14:paraId="72C9AFCC" w14:textId="77777777">
        <w:trPr>
          <w:trHeight w:val="70"/>
        </w:trPr>
        <w:tc>
          <w:tcPr>
            <w:tcW w:w="1572" w:type="dxa"/>
            <w:vAlign w:val="center"/>
          </w:tcPr>
          <w:p w14:paraId="1038A9CE" w14:textId="77777777" w:rsidR="008A64C4" w:rsidRDefault="00474C1B">
            <w:pPr>
              <w:jc w:val="center"/>
            </w:pPr>
            <w:r>
              <w:t>SPAG</w:t>
            </w:r>
          </w:p>
        </w:tc>
        <w:tc>
          <w:tcPr>
            <w:tcW w:w="1902" w:type="dxa"/>
            <w:shd w:val="clear" w:color="auto" w:fill="auto"/>
          </w:tcPr>
          <w:p w14:paraId="68D6F091" w14:textId="2B52C696" w:rsidR="008A64C4" w:rsidRDefault="000F7205">
            <w:pPr>
              <w:jc w:val="center"/>
            </w:pPr>
            <w:r>
              <w:t>110.0</w:t>
            </w:r>
          </w:p>
        </w:tc>
        <w:tc>
          <w:tcPr>
            <w:tcW w:w="1902" w:type="dxa"/>
          </w:tcPr>
          <w:p w14:paraId="18D7D560" w14:textId="317FCC02" w:rsidR="008A64C4" w:rsidRDefault="000F7205">
            <w:pPr>
              <w:jc w:val="center"/>
            </w:pPr>
            <w:r>
              <w:t>107.0</w:t>
            </w:r>
          </w:p>
        </w:tc>
        <w:tc>
          <w:tcPr>
            <w:tcW w:w="1902" w:type="dxa"/>
          </w:tcPr>
          <w:p w14:paraId="2B219087" w14:textId="1389D6BA" w:rsidR="008A64C4" w:rsidRDefault="000F7205">
            <w:pPr>
              <w:jc w:val="center"/>
            </w:pPr>
            <w:r>
              <w:t>109.0</w:t>
            </w:r>
          </w:p>
        </w:tc>
        <w:tc>
          <w:tcPr>
            <w:tcW w:w="1902" w:type="dxa"/>
          </w:tcPr>
          <w:p w14:paraId="41B25DEA" w14:textId="6B8880B1" w:rsidR="008A64C4" w:rsidRDefault="000F7205">
            <w:pPr>
              <w:jc w:val="center"/>
            </w:pPr>
            <w:r>
              <w:t>105.0</w:t>
            </w:r>
          </w:p>
        </w:tc>
      </w:tr>
      <w:tr w:rsidR="008A64C4" w14:paraId="29026019" w14:textId="77777777">
        <w:trPr>
          <w:trHeight w:val="60"/>
        </w:trPr>
        <w:tc>
          <w:tcPr>
            <w:tcW w:w="1572" w:type="dxa"/>
            <w:vAlign w:val="center"/>
          </w:tcPr>
          <w:p w14:paraId="3E6A247D" w14:textId="77777777" w:rsidR="008A64C4" w:rsidRDefault="00474C1B">
            <w:pPr>
              <w:jc w:val="center"/>
            </w:pPr>
            <w:r>
              <w:t>Maths</w:t>
            </w:r>
          </w:p>
        </w:tc>
        <w:tc>
          <w:tcPr>
            <w:tcW w:w="1902" w:type="dxa"/>
            <w:shd w:val="clear" w:color="auto" w:fill="auto"/>
          </w:tcPr>
          <w:p w14:paraId="0906A129" w14:textId="28E68BEE" w:rsidR="008A64C4" w:rsidRDefault="000F7205">
            <w:pPr>
              <w:jc w:val="center"/>
            </w:pPr>
            <w:r>
              <w:t>107.0</w:t>
            </w:r>
          </w:p>
        </w:tc>
        <w:tc>
          <w:tcPr>
            <w:tcW w:w="1902" w:type="dxa"/>
          </w:tcPr>
          <w:p w14:paraId="5E615BE3" w14:textId="06816502" w:rsidR="008A64C4" w:rsidRDefault="000F7205">
            <w:pPr>
              <w:jc w:val="center"/>
            </w:pPr>
            <w:r>
              <w:t>101.0</w:t>
            </w:r>
          </w:p>
        </w:tc>
        <w:tc>
          <w:tcPr>
            <w:tcW w:w="1902" w:type="dxa"/>
          </w:tcPr>
          <w:p w14:paraId="580F03EE" w14:textId="5F20DCBD" w:rsidR="008A64C4" w:rsidRDefault="000F7205">
            <w:pPr>
              <w:jc w:val="center"/>
            </w:pPr>
            <w:r>
              <w:t>105.0</w:t>
            </w:r>
          </w:p>
        </w:tc>
        <w:tc>
          <w:tcPr>
            <w:tcW w:w="1902" w:type="dxa"/>
          </w:tcPr>
          <w:p w14:paraId="5316B3F3" w14:textId="667AA434" w:rsidR="008A64C4" w:rsidRDefault="000F7205">
            <w:pPr>
              <w:jc w:val="center"/>
            </w:pPr>
            <w:r>
              <w:t>104.0</w:t>
            </w:r>
          </w:p>
        </w:tc>
      </w:tr>
    </w:tbl>
    <w:p w14:paraId="5FE2B594" w14:textId="77777777" w:rsidR="008A64C4" w:rsidRDefault="008A64C4">
      <w:pPr>
        <w:spacing w:after="0" w:line="240" w:lineRule="auto"/>
        <w:rPr>
          <w:b/>
        </w:rPr>
      </w:pPr>
    </w:p>
    <w:p w14:paraId="7C234598" w14:textId="77777777" w:rsidR="00725651" w:rsidRDefault="00725651">
      <w:pPr>
        <w:spacing w:after="0" w:line="240" w:lineRule="auto"/>
        <w:rPr>
          <w:b/>
        </w:rPr>
      </w:pPr>
    </w:p>
    <w:p w14:paraId="420F2727" w14:textId="77777777" w:rsidR="00725651" w:rsidRDefault="00725651">
      <w:pPr>
        <w:spacing w:after="0" w:line="240" w:lineRule="auto"/>
        <w:rPr>
          <w:b/>
        </w:rPr>
      </w:pPr>
    </w:p>
    <w:p w14:paraId="5E506342" w14:textId="77777777" w:rsidR="00725651" w:rsidRDefault="00725651">
      <w:pPr>
        <w:spacing w:after="0" w:line="240" w:lineRule="auto"/>
        <w:rPr>
          <w:b/>
        </w:rPr>
      </w:pPr>
    </w:p>
    <w:p w14:paraId="18DC2321" w14:textId="77777777" w:rsidR="00725651" w:rsidRDefault="00725651">
      <w:pPr>
        <w:spacing w:after="0" w:line="240" w:lineRule="auto"/>
        <w:rPr>
          <w:b/>
        </w:rPr>
      </w:pPr>
    </w:p>
    <w:p w14:paraId="3AB364DD" w14:textId="77777777" w:rsidR="00725651" w:rsidRDefault="00725651">
      <w:pPr>
        <w:spacing w:after="0" w:line="240" w:lineRule="auto"/>
        <w:rPr>
          <w:b/>
        </w:rPr>
      </w:pPr>
    </w:p>
    <w:p w14:paraId="6FCC8A1B" w14:textId="77777777" w:rsidR="00725651" w:rsidRDefault="00725651">
      <w:pPr>
        <w:spacing w:after="0" w:line="240" w:lineRule="auto"/>
        <w:rPr>
          <w:b/>
        </w:rPr>
      </w:pPr>
    </w:p>
    <w:p w14:paraId="373BFDF1" w14:textId="77777777" w:rsidR="00725651" w:rsidRDefault="00725651">
      <w:pPr>
        <w:spacing w:after="0" w:line="240" w:lineRule="auto"/>
        <w:rPr>
          <w:b/>
        </w:rPr>
      </w:pPr>
    </w:p>
    <w:p w14:paraId="175CE96D" w14:textId="14DB2C37" w:rsidR="008A64C4" w:rsidRDefault="00474C1B">
      <w:pPr>
        <w:spacing w:after="0" w:line="240" w:lineRule="auto"/>
        <w:rPr>
          <w:b/>
        </w:rPr>
      </w:pPr>
      <w:r>
        <w:rPr>
          <w:b/>
        </w:rPr>
        <w:lastRenderedPageBreak/>
        <w:t xml:space="preserve">KS1 – 2 Progress </w:t>
      </w:r>
      <w:r w:rsidR="000F7205">
        <w:rPr>
          <w:b/>
        </w:rPr>
        <w:t>scores</w:t>
      </w:r>
      <w:r>
        <w:rPr>
          <w:b/>
        </w:rPr>
        <w:t xml:space="preserve"> 202</w:t>
      </w:r>
      <w:r w:rsidR="00CA1E61">
        <w:rPr>
          <w:b/>
        </w:rPr>
        <w:t>3</w:t>
      </w:r>
    </w:p>
    <w:p w14:paraId="6273BB55" w14:textId="7AEA85F6" w:rsidR="008A64C4" w:rsidRDefault="00474C1B">
      <w:pPr>
        <w:spacing w:after="0" w:line="240" w:lineRule="auto"/>
        <w:rPr>
          <w:b/>
        </w:rPr>
      </w:pPr>
      <w:r>
        <w:rPr>
          <w:b/>
        </w:rPr>
        <w:t xml:space="preserve">Reading: </w:t>
      </w:r>
      <w:r w:rsidR="00C1289D">
        <w:rPr>
          <w:b/>
        </w:rPr>
        <w:t>1.41</w:t>
      </w:r>
    </w:p>
    <w:p w14:paraId="0CE6A9B0" w14:textId="3C8F5A9D" w:rsidR="008A64C4" w:rsidRDefault="00474C1B">
      <w:pPr>
        <w:spacing w:after="0" w:line="240" w:lineRule="auto"/>
        <w:rPr>
          <w:b/>
        </w:rPr>
      </w:pPr>
      <w:r>
        <w:rPr>
          <w:b/>
        </w:rPr>
        <w:t xml:space="preserve">Writing: </w:t>
      </w:r>
      <w:r w:rsidR="00C1289D">
        <w:rPr>
          <w:b/>
        </w:rPr>
        <w:t>-1.28</w:t>
      </w:r>
    </w:p>
    <w:p w14:paraId="08087771" w14:textId="5567A5BB" w:rsidR="008A64C4" w:rsidRDefault="00474C1B">
      <w:pPr>
        <w:spacing w:after="0" w:line="240" w:lineRule="auto"/>
        <w:rPr>
          <w:b/>
        </w:rPr>
      </w:pPr>
      <w:r>
        <w:rPr>
          <w:b/>
        </w:rPr>
        <w:t xml:space="preserve">Maths: </w:t>
      </w:r>
      <w:r w:rsidR="00C1289D">
        <w:rPr>
          <w:b/>
        </w:rPr>
        <w:t>-1.00</w:t>
      </w:r>
    </w:p>
    <w:p w14:paraId="47DAEDDC" w14:textId="77777777" w:rsidR="008A64C4" w:rsidRDefault="008A64C4">
      <w:pPr>
        <w:spacing w:after="0" w:line="240" w:lineRule="auto"/>
      </w:pPr>
    </w:p>
    <w:p w14:paraId="34E3F986" w14:textId="7426079F" w:rsidR="008A64C4" w:rsidRDefault="00325B13">
      <w:pPr>
        <w:spacing w:after="0" w:line="240" w:lineRule="auto"/>
        <w:rPr>
          <w:b/>
        </w:rPr>
      </w:pPr>
      <w:r>
        <w:t>Please follow this link to National Performance tables:</w:t>
      </w:r>
    </w:p>
    <w:p w14:paraId="2C27F248" w14:textId="09ADAB42" w:rsidR="008A64C4" w:rsidRDefault="00A916F3">
      <w:pPr>
        <w:spacing w:after="0" w:line="240" w:lineRule="auto"/>
        <w:rPr>
          <w:b/>
        </w:rPr>
      </w:pPr>
      <w:hyperlink r:id="rId4" w:history="1">
        <w:r w:rsidRPr="009B0BEB">
          <w:rPr>
            <w:rStyle w:val="Hyperlink"/>
            <w:b/>
          </w:rPr>
          <w:t>https://www.compare-school-performance.service.gov.uk/school/104781/oakdene-primary-school/primary</w:t>
        </w:r>
      </w:hyperlink>
    </w:p>
    <w:p w14:paraId="5100892C" w14:textId="77777777" w:rsidR="00A916F3" w:rsidRDefault="00A916F3">
      <w:pPr>
        <w:spacing w:after="0" w:line="240" w:lineRule="auto"/>
        <w:rPr>
          <w:b/>
        </w:rPr>
      </w:pPr>
    </w:p>
    <w:p w14:paraId="138685AE" w14:textId="77777777" w:rsidR="008A64C4" w:rsidRDefault="008A64C4">
      <w:pPr>
        <w:spacing w:after="0" w:line="240" w:lineRule="auto"/>
        <w:rPr>
          <w:b/>
        </w:rPr>
      </w:pPr>
    </w:p>
    <w:p w14:paraId="2AC32FAA" w14:textId="71FF6209" w:rsidR="008A64C4" w:rsidRDefault="008A64C4">
      <w:pPr>
        <w:spacing w:after="0" w:line="240" w:lineRule="auto"/>
        <w:rPr>
          <w:b/>
        </w:rPr>
      </w:pPr>
    </w:p>
    <w:sectPr w:rsidR="008A64C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C4"/>
    <w:rsid w:val="000F7205"/>
    <w:rsid w:val="00154F1E"/>
    <w:rsid w:val="00206F43"/>
    <w:rsid w:val="00325B13"/>
    <w:rsid w:val="00474C1B"/>
    <w:rsid w:val="00646283"/>
    <w:rsid w:val="00725651"/>
    <w:rsid w:val="007C013A"/>
    <w:rsid w:val="008A64C4"/>
    <w:rsid w:val="00A916F3"/>
    <w:rsid w:val="00C1289D"/>
    <w:rsid w:val="00CA1E61"/>
    <w:rsid w:val="00D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7312"/>
  <w15:docId w15:val="{ECA39B23-6E60-4F05-A3CB-71B5512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916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re-school-performance.service.gov.uk/school/104781/oakdene-primary-school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Young</dc:creator>
  <cp:lastModifiedBy>Lynsey Young</cp:lastModifiedBy>
  <cp:revision>2</cp:revision>
  <cp:lastPrinted>2023-10-23T09:23:00Z</cp:lastPrinted>
  <dcterms:created xsi:type="dcterms:W3CDTF">2024-01-22T09:32:00Z</dcterms:created>
  <dcterms:modified xsi:type="dcterms:W3CDTF">2024-01-22T09:32:00Z</dcterms:modified>
</cp:coreProperties>
</file>